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51" w:rsidRPr="00051851" w:rsidRDefault="00051851" w:rsidP="00051851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05185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Приказ Министерства здравоохранения Российской Федерации от 3 августа 2012 г. N 66н г. </w:t>
      </w:r>
      <w:proofErr w:type="spellStart"/>
      <w:r w:rsidRPr="0005185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Москва</w:t>
      </w:r>
      <w:proofErr w:type="gramStart"/>
      <w:r w:rsidRPr="0005185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"О</w:t>
      </w:r>
      <w:proofErr w:type="gramEnd"/>
      <w:r w:rsidRPr="0005185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б</w:t>
      </w:r>
      <w:proofErr w:type="spellEnd"/>
      <w:r w:rsidRPr="0005185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 </w:t>
      </w:r>
    </w:p>
    <w:p w:rsidR="00051851" w:rsidRPr="00051851" w:rsidRDefault="00051851" w:rsidP="00051851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51851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pict/>
      </w:r>
      <w:r w:rsidRPr="00051851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051851" w:rsidRPr="00051851" w:rsidRDefault="00051851" w:rsidP="0005185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7" name="Рисунок 7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1851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051851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Word</w:t>
        </w:r>
        <w:proofErr w:type="spellEnd"/>
      </w:hyperlink>
      <w:r w:rsidRPr="00051851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  <w:hyperlink r:id="rId7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6" name="Рисунок 6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1851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Версия для печати</w:t>
        </w:r>
      </w:hyperlink>
      <w:r w:rsidRPr="00051851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br/>
      </w:r>
    </w:p>
    <w:p w:rsidR="00051851" w:rsidRPr="00051851" w:rsidRDefault="00051851" w:rsidP="0005185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51851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pict/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5" name="Рисунок 5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3" name="Рисунок 3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44A6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0" t="0" r="0" b="0"/>
            <wp:docPr id="2" name="Рисунок 2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Fonts w:ascii="Tahoma" w:eastAsia="Times New Roman" w:hAnsi="Tahoma" w:cs="Tahoma"/>
            <w:noProof/>
            <w:color w:val="344A64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3350" cy="133350"/>
              <wp:effectExtent l="0" t="0" r="0" b="0"/>
              <wp:docPr id="1" name="Рисунок 1" descr="Ссылка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Ссылка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1851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В блог</w:t>
        </w:r>
      </w:hyperlink>
    </w:p>
    <w:p w:rsidR="00051851" w:rsidRPr="00051851" w:rsidRDefault="00051851" w:rsidP="00051851">
      <w:pPr>
        <w:shd w:val="clear" w:color="auto" w:fill="FFFFFF"/>
        <w:spacing w:after="0" w:line="300" w:lineRule="atLeast"/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</w:pPr>
      <w:hyperlink r:id="rId19" w:history="1">
        <w:r w:rsidRPr="00051851">
          <w:rPr>
            <w:rFonts w:ascii="Tahoma" w:eastAsia="Times New Roman" w:hAnsi="Tahoma" w:cs="Tahoma"/>
            <w:vanish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закрыть</w:t>
        </w:r>
      </w:hyperlink>
      <w:r w:rsidRPr="00051851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br/>
        <w:t>Код для вставки в блог:</w:t>
      </w:r>
      <w:r w:rsidRPr="00051851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br/>
      </w:r>
      <w:r w:rsidRPr="00051851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6pt;height:60pt" o:ole="">
            <v:imagedata r:id="rId20" o:title=""/>
          </v:shape>
          <w:control r:id="rId21" w:name="DefaultOcxName" w:shapeid="_x0000_i1045"/>
        </w:object>
      </w:r>
    </w:p>
    <w:p w:rsidR="00051851" w:rsidRPr="00051851" w:rsidRDefault="00051851" w:rsidP="00051851">
      <w:pPr>
        <w:shd w:val="clear" w:color="auto" w:fill="FFFFFF"/>
        <w:spacing w:after="0" w:line="300" w:lineRule="atLeast"/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</w:pPr>
      <w:r w:rsidRPr="00051851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t xml:space="preserve">Выделите код и перенесите </w:t>
      </w:r>
      <w:proofErr w:type="gramStart"/>
      <w:r w:rsidRPr="00051851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t>в</w:t>
      </w:r>
      <w:proofErr w:type="gramEnd"/>
      <w:r w:rsidRPr="00051851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t xml:space="preserve"> свой блог</w:t>
      </w:r>
    </w:p>
    <w:p w:rsidR="00051851" w:rsidRPr="00051851" w:rsidRDefault="00051851" w:rsidP="00051851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</w:p>
    <w:p w:rsidR="00051851" w:rsidRPr="00051851" w:rsidRDefault="00051851" w:rsidP="00051851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51851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051851" w:rsidRPr="00051851" w:rsidRDefault="00051851" w:rsidP="00051851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r w:rsidRPr="00051851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051851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19 сентября 2012 г.</w:t>
      </w:r>
    </w:p>
    <w:p w:rsidR="00051851" w:rsidRPr="00051851" w:rsidRDefault="00051851" w:rsidP="0005185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051851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051851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19 сентября 2012 г. в </w:t>
      </w:r>
      <w:hyperlink r:id="rId22" w:history="1">
        <w:r w:rsidRPr="00051851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№5888</w:t>
        </w:r>
      </w:hyperlink>
      <w:r w:rsidRPr="00051851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4 сентября 2012 г.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25359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со статьей 73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пунктом 5.2.121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3526), </w:t>
      </w:r>
      <w:r w:rsidRPr="0005185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Утвердить прилагаемые 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здравоохранения и социального развития Российской Федерации: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от 9 декабря 2008 г. N 705н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от 12 августа 2009 г. N 581н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от 9 декабря 2008 г. N 705н" (зарегистрирован Минюстом России 18 сентября 2009 г. N 14806);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от 20 июня 2011 г. N 577н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от 9 декабря 2008 г. N 705н" (зарегистрирован Минюстом России 19 сентября 2011 г. N 21820).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выполнением настоящего приказа возложить на заместителя Министра здравоохранения Российской Федерации И.Н. </w:t>
      </w:r>
      <w:proofErr w:type="spell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Каграманяна</w:t>
      </w:r>
      <w:proofErr w:type="spell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В. Скворцова</w:t>
      </w:r>
    </w:p>
    <w:p w:rsidR="00051851" w:rsidRPr="00051851" w:rsidRDefault="00051851" w:rsidP="00051851">
      <w:pPr>
        <w:shd w:val="clear" w:color="auto" w:fill="FFFFFF"/>
        <w:spacing w:before="150" w:after="0" w:line="240" w:lineRule="auto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051851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51851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обучения</w:t>
      </w:r>
      <w:proofErr w:type="gramEnd"/>
      <w:r w:rsidRPr="00051851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дополнительным </w:t>
      </w:r>
      <w:bookmarkStart w:id="0" w:name="_GoBack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профессиональным образовательным программам в образовательных и научных </w:t>
      </w:r>
      <w:bookmarkEnd w:id="0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организациях и продолжительность данного обучения (далее - Порядок и сроки).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Повышение квалификации работников проводится не реже одного раза в 5 лет в течение всей их трудовой деятельности.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Сроки, формы, содержание и технология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 программам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Повышение квалификации и профессиональная переподготовка работников организуются в соответствии с квалификационными требованиями,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</w:t>
      </w:r>
      <w:proofErr w:type="spell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России от 26 декабря 2011 г. N 1644н (зарегистрирован Минюстом России 18 апреля 2012 г., регистрационный N23879),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6. Зачисление на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 программам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8. Обучение по программам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абзаце третьем пункта 5 настоящих Порядка и сроков, но имеющих непрерывный стаж практической работы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соответствующей медицинской или фармацевтической специальности более 5 лет, организуется: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9. Условиями зачисления работников в образовательную или научную организацию для </w:t>
      </w:r>
      <w:proofErr w:type="gramStart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 программам</w:t>
      </w:r>
      <w:proofErr w:type="gramEnd"/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дополнительного профессионального образования являются: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личное заявление работника;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пункте 8 настоящих Порядка и сроков);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пункте 8 настоящих Порядка и сроков).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051851" w:rsidRPr="00051851" w:rsidRDefault="00051851" w:rsidP="0005185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5185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Работники, указанные в пункте 8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774A3F" w:rsidRDefault="00774A3F"/>
    <w:sectPr w:rsidR="0077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D"/>
    <w:rsid w:val="00051851"/>
    <w:rsid w:val="00774A3F"/>
    <w:rsid w:val="00E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851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05185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5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851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05185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5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7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78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2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4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3014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946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6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2/09/19/medobr-dok.html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://www.rg.ru/printable/2012/09/19/medobr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2012/09/19/medobr-dok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2/09/19/medobr-dok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pecial.rg.ru/Utils/saveDoc/2012/09/19/medobr-dok.html" TargetMode="External"/><Relationship Id="rId15" Type="http://schemas.openxmlformats.org/officeDocument/2006/relationships/hyperlink" Target="https://m.google.com/app/plus/x/?v=compose&amp;content=http://www.rg.ru/2012/09/19/medobr-dok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rg.ru/2012/09/19/medobr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home?status=http://www.rg.ru/2012/09/19/medobr-dok.htm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rg.ru/gazeta/rg/2012/09/19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8661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1-214</dc:creator>
  <cp:keywords/>
  <dc:description/>
  <cp:lastModifiedBy>1-214</cp:lastModifiedBy>
  <cp:revision>2</cp:revision>
  <dcterms:created xsi:type="dcterms:W3CDTF">2013-04-12T04:53:00Z</dcterms:created>
  <dcterms:modified xsi:type="dcterms:W3CDTF">2013-04-12T04:55:00Z</dcterms:modified>
</cp:coreProperties>
</file>